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5207" w14:textId="2BE8E02E" w:rsidR="00933D70" w:rsidRPr="00933D70" w:rsidRDefault="00933D70" w:rsidP="00933D70">
      <w:pPr>
        <w:jc w:val="center"/>
        <w:rPr>
          <w:rFonts w:ascii="Times New Roman" w:hAnsi="Times New Roman" w:cs="Times New Roman"/>
          <w:b/>
          <w:bCs/>
        </w:rPr>
      </w:pPr>
      <w:r w:rsidRPr="00F80BA8">
        <w:rPr>
          <w:rFonts w:ascii="Times New Roman" w:hAnsi="Times New Roman" w:cs="Times New Roman"/>
          <w:b/>
          <w:bCs/>
        </w:rPr>
        <w:t>ПЕРЕЛІК ПОКАЗНИКІВ ЯКОСТІ НАДАННЯ ПОСЛУГ З ПОСТАЧАННЯ ЕЛЕКТРИЧНОЇ ЕНЕРГІЇ, ПОРЯДОК ТА РОЗМІР КОМПЕНСАЦІЇ ЗА ЇХ НЕДОТРИМАНН</w:t>
      </w:r>
      <w:r w:rsidR="00B25DCF">
        <w:rPr>
          <w:rFonts w:ascii="Times New Roman" w:hAnsi="Times New Roman" w:cs="Times New Roman"/>
          <w:b/>
          <w:bCs/>
        </w:rPr>
        <w:t>Я</w:t>
      </w:r>
    </w:p>
    <w:p w14:paraId="77978BE4" w14:textId="77777777" w:rsidR="00933D70" w:rsidRPr="00933D70" w:rsidRDefault="00933D70" w:rsidP="00933D70">
      <w:pPr>
        <w:jc w:val="both"/>
        <w:rPr>
          <w:rFonts w:ascii="Times New Roman" w:hAnsi="Times New Roman" w:cs="Times New Roman"/>
        </w:rPr>
      </w:pPr>
      <w:r w:rsidRPr="00933D70">
        <w:rPr>
          <w:rFonts w:ascii="Times New Roman" w:hAnsi="Times New Roman" w:cs="Times New Roman"/>
        </w:rPr>
        <w:t>Показники якості надання послуг електропостачальника, порядок та розмір компенсації за їх недотримання визначені Порядком забезпечення стандартів якості електропостачання та надання компенсацій споживачам за їх недотримання (постанова НКРЕКП від 12.06.2018 № 375).</w:t>
      </w:r>
      <w:r w:rsidRPr="00933D70">
        <w:rPr>
          <w:rFonts w:ascii="Times New Roman" w:hAnsi="Times New Roman" w:cs="Times New Roman"/>
        </w:rPr>
        <w:br/>
        <w:t>Цей Порядок визначає перелік загальних та гарантованих стандартів якості електропостачання і регулює відносини, пов’язані з електропостачанням відповідно до загальних та гарантованих стандартів якості, захистом прав споживачів та наданням електропостачальником або оператором системи розподілу (ОСР) компенсації за недотримання гарантованих стандартів якості електропостачання споживачам або замовникам (у випадку недотримання гарантованих стандартів якості під час приєднання до електричних мереж).</w:t>
      </w:r>
    </w:p>
    <w:p w14:paraId="0BDE9042" w14:textId="77777777" w:rsidR="00933D70" w:rsidRPr="00933D70" w:rsidRDefault="00933D70" w:rsidP="00933D70">
      <w:pPr>
        <w:numPr>
          <w:ilvl w:val="0"/>
          <w:numId w:val="4"/>
        </w:numPr>
        <w:rPr>
          <w:rFonts w:ascii="Times New Roman" w:hAnsi="Times New Roman" w:cs="Times New Roman"/>
        </w:rPr>
      </w:pPr>
      <w:r w:rsidRPr="00933D70">
        <w:rPr>
          <w:rFonts w:ascii="Times New Roman" w:hAnsi="Times New Roman" w:cs="Times New Roman"/>
        </w:rPr>
        <w:t xml:space="preserve">Стандарти якості надання послуг </w:t>
      </w:r>
      <w:proofErr w:type="spellStart"/>
      <w:r w:rsidRPr="00933D70">
        <w:rPr>
          <w:rFonts w:ascii="Times New Roman" w:hAnsi="Times New Roman" w:cs="Times New Roman"/>
        </w:rPr>
        <w:t>електропостачальника</w:t>
      </w:r>
      <w:proofErr w:type="spellEnd"/>
      <w:r w:rsidRPr="00933D70">
        <w:rPr>
          <w:rFonts w:ascii="Times New Roman" w:hAnsi="Times New Roman" w:cs="Times New Roman"/>
        </w:rPr>
        <w:br/>
      </w:r>
      <w:proofErr w:type="spellStart"/>
      <w:r w:rsidRPr="00933D70">
        <w:rPr>
          <w:rFonts w:ascii="Times New Roman" w:hAnsi="Times New Roman" w:cs="Times New Roman"/>
        </w:rPr>
        <w:t>Електропостачальник</w:t>
      </w:r>
      <w:proofErr w:type="spellEnd"/>
      <w:r w:rsidRPr="00933D70">
        <w:rPr>
          <w:rFonts w:ascii="Times New Roman" w:hAnsi="Times New Roman" w:cs="Times New Roman"/>
        </w:rPr>
        <w:t xml:space="preserve"> забезпечує дотримання загальних та гарантованих стандартів якості надання послуг, зазначених у пунктах 3.2 та 3.3 глави.3.2 Порядку.</w:t>
      </w:r>
      <w:r w:rsidRPr="00933D70">
        <w:rPr>
          <w:rFonts w:ascii="Times New Roman" w:hAnsi="Times New Roman" w:cs="Times New Roman"/>
        </w:rPr>
        <w:br/>
        <w:t>До загальних стандартів якості надання послуг електропостачальника належать:</w:t>
      </w:r>
    </w:p>
    <w:p w14:paraId="7450F323" w14:textId="77777777" w:rsidR="00933D70" w:rsidRPr="00933D70" w:rsidRDefault="00933D70" w:rsidP="00933D70">
      <w:pPr>
        <w:numPr>
          <w:ilvl w:val="0"/>
          <w:numId w:val="5"/>
        </w:numPr>
        <w:rPr>
          <w:rFonts w:ascii="Times New Roman" w:hAnsi="Times New Roman" w:cs="Times New Roman"/>
        </w:rPr>
      </w:pPr>
      <w:r w:rsidRPr="00933D70">
        <w:rPr>
          <w:rFonts w:ascii="Times New Roman" w:hAnsi="Times New Roman" w:cs="Times New Roman"/>
        </w:rPr>
        <w:t xml:space="preserve">рівень сервісу </w:t>
      </w:r>
      <w:proofErr w:type="spellStart"/>
      <w:r w:rsidRPr="00933D70">
        <w:rPr>
          <w:rFonts w:ascii="Times New Roman" w:hAnsi="Times New Roman" w:cs="Times New Roman"/>
        </w:rPr>
        <w:t>кол</w:t>
      </w:r>
      <w:proofErr w:type="spellEnd"/>
      <w:r w:rsidRPr="00933D70">
        <w:rPr>
          <w:rFonts w:ascii="Times New Roman" w:hAnsi="Times New Roman" w:cs="Times New Roman"/>
        </w:rPr>
        <w:t xml:space="preserve">-центру протягом 30 секунд (відсоток дзвінків, з’єднаних з оператором </w:t>
      </w:r>
      <w:proofErr w:type="spellStart"/>
      <w:r w:rsidRPr="00933D70">
        <w:rPr>
          <w:rFonts w:ascii="Times New Roman" w:hAnsi="Times New Roman" w:cs="Times New Roman"/>
        </w:rPr>
        <w:t>кол</w:t>
      </w:r>
      <w:proofErr w:type="spellEnd"/>
      <w:r w:rsidRPr="00933D70">
        <w:rPr>
          <w:rFonts w:ascii="Times New Roman" w:hAnsi="Times New Roman" w:cs="Times New Roman"/>
        </w:rPr>
        <w:t>-центру протягом 30 секунд) у звітному році – не менше 75 %;</w:t>
      </w:r>
    </w:p>
    <w:p w14:paraId="608C8AA3" w14:textId="77777777" w:rsidR="00933D70" w:rsidRPr="00933D70" w:rsidRDefault="00933D70" w:rsidP="00933D70">
      <w:pPr>
        <w:numPr>
          <w:ilvl w:val="0"/>
          <w:numId w:val="5"/>
        </w:numPr>
        <w:rPr>
          <w:rFonts w:ascii="Times New Roman" w:hAnsi="Times New Roman" w:cs="Times New Roman"/>
        </w:rPr>
      </w:pPr>
      <w:r w:rsidRPr="00933D70">
        <w:rPr>
          <w:rFonts w:ascii="Times New Roman" w:hAnsi="Times New Roman" w:cs="Times New Roman"/>
        </w:rPr>
        <w:t xml:space="preserve">відсоток втрачених дзвінків </w:t>
      </w:r>
      <w:proofErr w:type="spellStart"/>
      <w:r w:rsidRPr="00933D70">
        <w:rPr>
          <w:rFonts w:ascii="Times New Roman" w:hAnsi="Times New Roman" w:cs="Times New Roman"/>
        </w:rPr>
        <w:t>кол</w:t>
      </w:r>
      <w:proofErr w:type="spellEnd"/>
      <w:r w:rsidRPr="00933D70">
        <w:rPr>
          <w:rFonts w:ascii="Times New Roman" w:hAnsi="Times New Roman" w:cs="Times New Roman"/>
        </w:rPr>
        <w:t>-центру (без урахування втрачених дзвінків у меню голосового самообслуговування) у звітному році – не більше 10 %.</w:t>
      </w:r>
      <w:r w:rsidRPr="00933D70">
        <w:rPr>
          <w:rFonts w:ascii="Times New Roman" w:hAnsi="Times New Roman" w:cs="Times New Roman"/>
        </w:rPr>
        <w:br/>
        <w:t>До гарантованих стандартів якості надання послуг електропостачальника належать:</w:t>
      </w:r>
      <w:r w:rsidRPr="00933D70">
        <w:rPr>
          <w:rFonts w:ascii="Times New Roman" w:hAnsi="Times New Roman" w:cs="Times New Roman"/>
        </w:rPr>
        <w:br/>
        <w:t>1) надання даних про споживання електричної енергії у строк 5 робочих днів з дня отримання запиту споживача;</w:t>
      </w:r>
      <w:r w:rsidRPr="00933D70">
        <w:rPr>
          <w:rFonts w:ascii="Times New Roman" w:hAnsi="Times New Roman" w:cs="Times New Roman"/>
        </w:rPr>
        <w:br/>
        <w:t>2) розгляд звернень/скарг/претензій споживачів з дня отримання звернення/скарги/претензії споживача:</w:t>
      </w:r>
    </w:p>
    <w:p w14:paraId="0AAF720D" w14:textId="77777777" w:rsidR="00933D70" w:rsidRPr="00933D70" w:rsidRDefault="00933D70" w:rsidP="00933D70">
      <w:pPr>
        <w:numPr>
          <w:ilvl w:val="0"/>
          <w:numId w:val="5"/>
        </w:numPr>
        <w:rPr>
          <w:rFonts w:ascii="Times New Roman" w:hAnsi="Times New Roman" w:cs="Times New Roman"/>
        </w:rPr>
      </w:pPr>
      <w:r w:rsidRPr="00933D70">
        <w:rPr>
          <w:rFonts w:ascii="Times New Roman" w:hAnsi="Times New Roman" w:cs="Times New Roman"/>
        </w:rPr>
        <w:t>у строк 30 днів;</w:t>
      </w:r>
    </w:p>
    <w:p w14:paraId="07B7003E" w14:textId="77777777" w:rsidR="00933D70" w:rsidRPr="00933D70" w:rsidRDefault="00933D70" w:rsidP="00933D70">
      <w:pPr>
        <w:numPr>
          <w:ilvl w:val="0"/>
          <w:numId w:val="5"/>
        </w:numPr>
        <w:rPr>
          <w:rFonts w:ascii="Times New Roman" w:hAnsi="Times New Roman" w:cs="Times New Roman"/>
        </w:rPr>
      </w:pPr>
      <w:r w:rsidRPr="00933D70">
        <w:rPr>
          <w:rFonts w:ascii="Times New Roman" w:hAnsi="Times New Roman" w:cs="Times New Roman"/>
        </w:rPr>
        <w:t>у строк 45 днів, якщо під час розгляду звернення необхідно здійснити технічну перевірку або провести експертизу засобу обліку;</w:t>
      </w:r>
      <w:r w:rsidRPr="00933D70">
        <w:rPr>
          <w:rFonts w:ascii="Times New Roman" w:hAnsi="Times New Roman" w:cs="Times New Roman"/>
        </w:rPr>
        <w:br/>
        <w:t>3) розгляд звернень споживачів щодо перевірки правильності рахунку на оплату у строк 5 робочих днів з дати отримання звернення;</w:t>
      </w:r>
      <w:r w:rsidRPr="00933D70">
        <w:rPr>
          <w:rFonts w:ascii="Times New Roman" w:hAnsi="Times New Roman" w:cs="Times New Roman"/>
        </w:rPr>
        <w:br/>
        <w:t xml:space="preserve">4) урахування суми відповідної компенсації за недотримання гарантованих стандартів якості надання послуг ОСР у кінцевому рахунку споживача за електричну енергію (якщо відповідно до комерційної пропозиції електропостачальника плату за надання послуг з розподілу електричної енергії забезпечує </w:t>
      </w:r>
      <w:proofErr w:type="spellStart"/>
      <w:r w:rsidRPr="00933D70">
        <w:rPr>
          <w:rFonts w:ascii="Times New Roman" w:hAnsi="Times New Roman" w:cs="Times New Roman"/>
        </w:rPr>
        <w:t>електропостальник</w:t>
      </w:r>
      <w:proofErr w:type="spellEnd"/>
      <w:r w:rsidRPr="00933D70">
        <w:rPr>
          <w:rFonts w:ascii="Times New Roman" w:hAnsi="Times New Roman" w:cs="Times New Roman"/>
        </w:rPr>
        <w:t>) у строк 30 днів з дня отримання повідомлення від ОСР щодо виплати компенсації.</w:t>
      </w:r>
      <w:r w:rsidRPr="00933D70">
        <w:rPr>
          <w:rFonts w:ascii="Times New Roman" w:hAnsi="Times New Roman" w:cs="Times New Roman"/>
        </w:rPr>
        <w:br/>
        <w:t xml:space="preserve">У разі недотримання гарантованих стандартів якості надання послуг, зазначених у пункті 3.3 глави 3 Порядку, </w:t>
      </w:r>
      <w:proofErr w:type="spellStart"/>
      <w:r w:rsidRPr="00933D70">
        <w:rPr>
          <w:rFonts w:ascii="Times New Roman" w:hAnsi="Times New Roman" w:cs="Times New Roman"/>
        </w:rPr>
        <w:t>електропостачальник</w:t>
      </w:r>
      <w:proofErr w:type="spellEnd"/>
      <w:r w:rsidRPr="00933D70">
        <w:rPr>
          <w:rFonts w:ascii="Times New Roman" w:hAnsi="Times New Roman" w:cs="Times New Roman"/>
        </w:rPr>
        <w:t xml:space="preserve"> надає споживачу компенсацію у розмірах, наведених у додатку 2 до Порядку (за вирахуванням необхідних сум податків, якщо такі застосовуються), та відповідно до процедур, визначених главою 5 Порядку.</w:t>
      </w:r>
      <w:r w:rsidRPr="00933D70">
        <w:rPr>
          <w:rFonts w:ascii="Times New Roman" w:hAnsi="Times New Roman" w:cs="Times New Roman"/>
        </w:rPr>
        <w:br/>
      </w:r>
      <w:proofErr w:type="spellStart"/>
      <w:r w:rsidRPr="00933D70">
        <w:rPr>
          <w:rFonts w:ascii="Times New Roman" w:hAnsi="Times New Roman" w:cs="Times New Roman"/>
        </w:rPr>
        <w:t>Електропостачальник</w:t>
      </w:r>
      <w:proofErr w:type="spellEnd"/>
      <w:r w:rsidRPr="00933D70">
        <w:rPr>
          <w:rFonts w:ascii="Times New Roman" w:hAnsi="Times New Roman" w:cs="Times New Roman"/>
        </w:rPr>
        <w:t xml:space="preserve"> за домовленістю зі споживачем може надавати компенсацію іншим способом, у тому числі шляхом прямого платежу споживачу.</w:t>
      </w:r>
    </w:p>
    <w:p w14:paraId="129101C0" w14:textId="77777777" w:rsidR="00933D70" w:rsidRPr="00933D70" w:rsidRDefault="00933D70" w:rsidP="00933D70">
      <w:pPr>
        <w:numPr>
          <w:ilvl w:val="0"/>
          <w:numId w:val="6"/>
        </w:numPr>
        <w:rPr>
          <w:rFonts w:ascii="Times New Roman" w:hAnsi="Times New Roman" w:cs="Times New Roman"/>
        </w:rPr>
      </w:pPr>
      <w:r w:rsidRPr="00933D70">
        <w:rPr>
          <w:rFonts w:ascii="Times New Roman" w:hAnsi="Times New Roman" w:cs="Times New Roman"/>
        </w:rPr>
        <w:t>Звільнення електропостачальника від обов’язку надання компенсації</w:t>
      </w:r>
      <w:r w:rsidRPr="00933D70">
        <w:rPr>
          <w:rFonts w:ascii="Times New Roman" w:hAnsi="Times New Roman" w:cs="Times New Roman"/>
        </w:rPr>
        <w:br/>
        <w:t>Компенсація за недотримання гарантованих стандартів якості надання послуг електропостачальником не надається у випадках:</w:t>
      </w:r>
      <w:r w:rsidRPr="00933D70">
        <w:rPr>
          <w:rFonts w:ascii="Times New Roman" w:hAnsi="Times New Roman" w:cs="Times New Roman"/>
        </w:rPr>
        <w:br/>
        <w:t>1) якщо недотримання гарантованих стандартів якості надання послуг було спричинено доведеними форс-мажорними обставинами;</w:t>
      </w:r>
      <w:r w:rsidRPr="00933D70">
        <w:rPr>
          <w:rFonts w:ascii="Times New Roman" w:hAnsi="Times New Roman" w:cs="Times New Roman"/>
        </w:rPr>
        <w:br/>
      </w:r>
      <w:r w:rsidRPr="00933D70">
        <w:rPr>
          <w:rFonts w:ascii="Times New Roman" w:hAnsi="Times New Roman" w:cs="Times New Roman"/>
        </w:rPr>
        <w:lastRenderedPageBreak/>
        <w:t>2) у разі відмови споживача у письмовому вигляді від отримання компенсації.</w:t>
      </w:r>
      <w:r w:rsidRPr="00933D70">
        <w:rPr>
          <w:rFonts w:ascii="Times New Roman" w:hAnsi="Times New Roman" w:cs="Times New Roman"/>
        </w:rPr>
        <w:br/>
        <w:t>У разі доведених дій чи бездіяльності споживача або третіх осіб, що призвели до затримки у наданні послуг або виконанні робіт, тривалість такої затримки не включається до тривалості надання послуги або виконання робіт.</w:t>
      </w:r>
      <w:r w:rsidRPr="00933D70">
        <w:rPr>
          <w:rFonts w:ascii="Times New Roman" w:hAnsi="Times New Roman" w:cs="Times New Roman"/>
        </w:rPr>
        <w:br/>
        <w:t xml:space="preserve">Якщо недотримання гарантованих стандартів якості надання послуг ОСР в точці розподілу </w:t>
      </w:r>
      <w:proofErr w:type="spellStart"/>
      <w:r w:rsidRPr="00933D70">
        <w:rPr>
          <w:rFonts w:ascii="Times New Roman" w:hAnsi="Times New Roman" w:cs="Times New Roman"/>
        </w:rPr>
        <w:t>субспоживачу</w:t>
      </w:r>
      <w:proofErr w:type="spellEnd"/>
      <w:r w:rsidRPr="00933D70">
        <w:rPr>
          <w:rFonts w:ascii="Times New Roman" w:hAnsi="Times New Roman" w:cs="Times New Roman"/>
        </w:rPr>
        <w:t xml:space="preserve"> </w:t>
      </w:r>
      <w:proofErr w:type="spellStart"/>
      <w:r w:rsidRPr="00933D70">
        <w:rPr>
          <w:rFonts w:ascii="Times New Roman" w:hAnsi="Times New Roman" w:cs="Times New Roman"/>
        </w:rPr>
        <w:t>виникло</w:t>
      </w:r>
      <w:proofErr w:type="spellEnd"/>
      <w:r w:rsidRPr="00933D70">
        <w:rPr>
          <w:rFonts w:ascii="Times New Roman" w:hAnsi="Times New Roman" w:cs="Times New Roman"/>
        </w:rPr>
        <w:t xml:space="preserve"> внаслідок дії чи бездіяльності основного споживача, ОСР має право вимагати від основного споживача відшкодування збитків, що виникли за зобов’язаннями ОСР в наданні компенсації </w:t>
      </w:r>
      <w:proofErr w:type="spellStart"/>
      <w:r w:rsidRPr="00933D70">
        <w:rPr>
          <w:rFonts w:ascii="Times New Roman" w:hAnsi="Times New Roman" w:cs="Times New Roman"/>
        </w:rPr>
        <w:t>субспоживачу</w:t>
      </w:r>
      <w:proofErr w:type="spellEnd"/>
      <w:r w:rsidRPr="00933D70">
        <w:rPr>
          <w:rFonts w:ascii="Times New Roman" w:hAnsi="Times New Roman" w:cs="Times New Roman"/>
        </w:rPr>
        <w:t>.</w:t>
      </w:r>
    </w:p>
    <w:p w14:paraId="5FFCD134" w14:textId="77777777" w:rsidR="00933D70" w:rsidRPr="00933D70" w:rsidRDefault="00933D70" w:rsidP="00933D70">
      <w:pPr>
        <w:numPr>
          <w:ilvl w:val="0"/>
          <w:numId w:val="6"/>
        </w:numPr>
        <w:rPr>
          <w:rFonts w:ascii="Times New Roman" w:hAnsi="Times New Roman" w:cs="Times New Roman"/>
        </w:rPr>
      </w:pPr>
      <w:r w:rsidRPr="00933D70">
        <w:rPr>
          <w:rFonts w:ascii="Times New Roman" w:hAnsi="Times New Roman" w:cs="Times New Roman"/>
        </w:rPr>
        <w:t>Інформування споживачів щодо дотримання загальних та гарантованих стандартів якості електропостачання</w:t>
      </w:r>
      <w:r w:rsidRPr="00933D70">
        <w:rPr>
          <w:rFonts w:ascii="Times New Roman" w:hAnsi="Times New Roman" w:cs="Times New Roman"/>
        </w:rPr>
        <w:br/>
      </w:r>
      <w:proofErr w:type="spellStart"/>
      <w:r w:rsidRPr="00933D70">
        <w:rPr>
          <w:rFonts w:ascii="Times New Roman" w:hAnsi="Times New Roman" w:cs="Times New Roman"/>
        </w:rPr>
        <w:t>Електропостачальник</w:t>
      </w:r>
      <w:proofErr w:type="spellEnd"/>
      <w:r w:rsidRPr="00933D70">
        <w:rPr>
          <w:rFonts w:ascii="Times New Roman" w:hAnsi="Times New Roman" w:cs="Times New Roman"/>
        </w:rPr>
        <w:t xml:space="preserve"> зобов’язаний проінформувати споживача про надання йому компенсації шляхом зазначення у рахунку на оплату електричної енергії або в «особистому кабінеті» споживача (за наявності) на офіційному веб-сайті електропостачальника, або листом на офіційному бланку до завершення розрахункового періоду, у якому нараховується компенсація.</w:t>
      </w:r>
      <w:r w:rsidRPr="00933D70">
        <w:rPr>
          <w:rFonts w:ascii="Times New Roman" w:hAnsi="Times New Roman" w:cs="Times New Roman"/>
        </w:rPr>
        <w:br/>
        <w:t>Інформація щодо загальних та гарантованих стандартів якості електропостачання, розмірів компенсацій та порядку їх надання підлягає оприлюдненню на офіційних веб-сайтах електропостачальника.</w:t>
      </w:r>
      <w:r w:rsidRPr="00933D70">
        <w:rPr>
          <w:rFonts w:ascii="Times New Roman" w:hAnsi="Times New Roman" w:cs="Times New Roman"/>
        </w:rPr>
        <w:br/>
      </w:r>
      <w:proofErr w:type="spellStart"/>
      <w:r w:rsidRPr="00933D70">
        <w:rPr>
          <w:rFonts w:ascii="Times New Roman" w:hAnsi="Times New Roman" w:cs="Times New Roman"/>
        </w:rPr>
        <w:t>Електропостачальник</w:t>
      </w:r>
      <w:proofErr w:type="spellEnd"/>
      <w:r w:rsidRPr="00933D70">
        <w:rPr>
          <w:rFonts w:ascii="Times New Roman" w:hAnsi="Times New Roman" w:cs="Times New Roman"/>
        </w:rPr>
        <w:t xml:space="preserve"> веде реєстр надання компенсацій споживачам за встановленою формою згідно з додатком 4 до Порядку.</w:t>
      </w:r>
    </w:p>
    <w:p w14:paraId="5300DD2E" w14:textId="77777777" w:rsidR="00933D70" w:rsidRPr="00F80BA8" w:rsidRDefault="00933D70" w:rsidP="00933D70">
      <w:pPr>
        <w:jc w:val="both"/>
        <w:rPr>
          <w:rFonts w:ascii="Times New Roman" w:hAnsi="Times New Roman" w:cs="Times New Roman"/>
        </w:rPr>
      </w:pPr>
    </w:p>
    <w:p w14:paraId="50DDFB85" w14:textId="77777777" w:rsidR="00933D70" w:rsidRPr="00F80BA8" w:rsidRDefault="00933D70" w:rsidP="00933D70">
      <w:pPr>
        <w:jc w:val="center"/>
        <w:rPr>
          <w:rFonts w:ascii="Times New Roman" w:hAnsi="Times New Roman" w:cs="Times New Roman"/>
        </w:rPr>
      </w:pPr>
    </w:p>
    <w:p w14:paraId="7C8065F4" w14:textId="77777777" w:rsidR="00933D70" w:rsidRPr="00F80BA8" w:rsidRDefault="00933D70" w:rsidP="00933D70">
      <w:pPr>
        <w:jc w:val="center"/>
        <w:rPr>
          <w:rFonts w:ascii="Times New Roman" w:hAnsi="Times New Roman" w:cs="Times New Roman"/>
        </w:rPr>
      </w:pPr>
    </w:p>
    <w:p w14:paraId="3E3F4998" w14:textId="77777777" w:rsidR="00933D70" w:rsidRPr="00F80BA8" w:rsidRDefault="00933D70" w:rsidP="00933D70">
      <w:pPr>
        <w:jc w:val="center"/>
        <w:rPr>
          <w:rFonts w:ascii="Times New Roman" w:hAnsi="Times New Roman" w:cs="Times New Roman"/>
        </w:rPr>
      </w:pPr>
    </w:p>
    <w:p w14:paraId="516A7463" w14:textId="77777777" w:rsidR="00933D70" w:rsidRPr="00F80BA8" w:rsidRDefault="00933D70" w:rsidP="00933D70">
      <w:pPr>
        <w:jc w:val="center"/>
        <w:rPr>
          <w:rFonts w:ascii="Times New Roman" w:hAnsi="Times New Roman" w:cs="Times New Roman"/>
        </w:rPr>
      </w:pPr>
    </w:p>
    <w:p w14:paraId="20D7B2BA" w14:textId="77777777" w:rsidR="00933D70" w:rsidRPr="00F80BA8" w:rsidRDefault="00933D70" w:rsidP="00933D70">
      <w:pPr>
        <w:jc w:val="center"/>
        <w:rPr>
          <w:rFonts w:ascii="Times New Roman" w:hAnsi="Times New Roman" w:cs="Times New Roman"/>
        </w:rPr>
      </w:pPr>
    </w:p>
    <w:p w14:paraId="5479C5FF" w14:textId="77777777" w:rsidR="00933D70" w:rsidRPr="00F80BA8" w:rsidRDefault="00933D70" w:rsidP="00933D70">
      <w:pPr>
        <w:jc w:val="center"/>
        <w:rPr>
          <w:rFonts w:ascii="Times New Roman" w:hAnsi="Times New Roman" w:cs="Times New Roman"/>
        </w:rPr>
      </w:pPr>
    </w:p>
    <w:p w14:paraId="46D64E75" w14:textId="77777777" w:rsidR="00933D70" w:rsidRPr="00F80BA8" w:rsidRDefault="00933D70" w:rsidP="00933D70">
      <w:pPr>
        <w:jc w:val="center"/>
        <w:rPr>
          <w:rFonts w:ascii="Times New Roman" w:hAnsi="Times New Roman" w:cs="Times New Roman"/>
        </w:rPr>
      </w:pPr>
    </w:p>
    <w:p w14:paraId="7EF3605D" w14:textId="77777777" w:rsidR="00933D70" w:rsidRPr="00F80BA8" w:rsidRDefault="00933D70" w:rsidP="00933D70">
      <w:pPr>
        <w:jc w:val="center"/>
        <w:rPr>
          <w:rFonts w:ascii="Times New Roman" w:hAnsi="Times New Roman" w:cs="Times New Roman"/>
          <w:b/>
          <w:bCs/>
        </w:rPr>
      </w:pPr>
    </w:p>
    <w:p w14:paraId="11C898DB" w14:textId="77777777" w:rsidR="00933D70" w:rsidRPr="00F80BA8" w:rsidRDefault="00933D70" w:rsidP="00933D70">
      <w:pPr>
        <w:jc w:val="center"/>
        <w:rPr>
          <w:rFonts w:ascii="Times New Roman" w:hAnsi="Times New Roman" w:cs="Times New Roman"/>
          <w:b/>
          <w:bCs/>
        </w:rPr>
      </w:pPr>
    </w:p>
    <w:p w14:paraId="31E4C143" w14:textId="77777777" w:rsidR="00933D70" w:rsidRPr="00F80BA8" w:rsidRDefault="00933D70" w:rsidP="00933D70">
      <w:pPr>
        <w:jc w:val="center"/>
        <w:rPr>
          <w:rFonts w:ascii="Times New Roman" w:hAnsi="Times New Roman" w:cs="Times New Roman"/>
          <w:b/>
          <w:bCs/>
        </w:rPr>
      </w:pPr>
    </w:p>
    <w:p w14:paraId="34E57CB7" w14:textId="77777777" w:rsidR="00933D70" w:rsidRPr="00F80BA8" w:rsidRDefault="00933D70" w:rsidP="00933D70">
      <w:pPr>
        <w:jc w:val="center"/>
        <w:rPr>
          <w:rFonts w:ascii="Times New Roman" w:hAnsi="Times New Roman" w:cs="Times New Roman"/>
          <w:b/>
          <w:bCs/>
        </w:rPr>
      </w:pPr>
    </w:p>
    <w:p w14:paraId="290899F1" w14:textId="77777777" w:rsidR="00933D70" w:rsidRPr="00F80BA8" w:rsidRDefault="00933D70" w:rsidP="00933D70">
      <w:pPr>
        <w:rPr>
          <w:rFonts w:ascii="Times New Roman" w:hAnsi="Times New Roman" w:cs="Times New Roman"/>
          <w:b/>
          <w:bCs/>
        </w:rPr>
      </w:pPr>
    </w:p>
    <w:p w14:paraId="71D456A9" w14:textId="1D9CF250" w:rsidR="00933D70" w:rsidRPr="00933D70" w:rsidRDefault="00933D70" w:rsidP="00933D70">
      <w:pPr>
        <w:jc w:val="center"/>
        <w:rPr>
          <w:rFonts w:ascii="Times New Roman" w:hAnsi="Times New Roman" w:cs="Times New Roman"/>
          <w:b/>
          <w:bCs/>
        </w:rPr>
      </w:pPr>
      <w:r w:rsidRPr="00933D70">
        <w:rPr>
          <w:rFonts w:ascii="Times New Roman" w:hAnsi="Times New Roman" w:cs="Times New Roman"/>
          <w:b/>
          <w:bCs/>
        </w:rPr>
        <w:lastRenderedPageBreak/>
        <w:t>РОЗМІР КОМПЕНСАЦІЇ</w:t>
      </w:r>
      <w:r w:rsidRPr="00933D70">
        <w:rPr>
          <w:rFonts w:ascii="Times New Roman" w:hAnsi="Times New Roman" w:cs="Times New Roman"/>
          <w:b/>
          <w:bCs/>
        </w:rPr>
        <w:br/>
        <w:t>за недотримання гарантованих стандартів якості надання послуг електропостачальника</w:t>
      </w:r>
    </w:p>
    <w:tbl>
      <w:tblPr>
        <w:tblW w:w="15926" w:type="dxa"/>
        <w:tblInd w:w="-473" w:type="dxa"/>
        <w:tblBorders>
          <w:top w:val="single" w:sz="6" w:space="0" w:color="F2F5F7"/>
          <w:left w:val="single" w:sz="6" w:space="0" w:color="F2F5F7"/>
          <w:bottom w:val="single" w:sz="2" w:space="0" w:color="F2F5F7"/>
          <w:right w:val="single" w:sz="2" w:space="0" w:color="F2F5F7"/>
        </w:tblBorders>
        <w:tblCellMar>
          <w:top w:w="15" w:type="dxa"/>
          <w:left w:w="15" w:type="dxa"/>
          <w:bottom w:w="15" w:type="dxa"/>
          <w:right w:w="15" w:type="dxa"/>
        </w:tblCellMar>
        <w:tblLook w:val="04A0" w:firstRow="1" w:lastRow="0" w:firstColumn="1" w:lastColumn="0" w:noHBand="0" w:noVBand="1"/>
      </w:tblPr>
      <w:tblGrid>
        <w:gridCol w:w="1845"/>
        <w:gridCol w:w="7434"/>
        <w:gridCol w:w="1235"/>
        <w:gridCol w:w="1311"/>
        <w:gridCol w:w="1535"/>
        <w:gridCol w:w="891"/>
        <w:gridCol w:w="1675"/>
      </w:tblGrid>
      <w:tr w:rsidR="00933D70" w:rsidRPr="00933D70" w14:paraId="7BF2459D" w14:textId="77777777" w:rsidTr="00933D70">
        <w:tc>
          <w:tcPr>
            <w:tcW w:w="1858" w:type="dxa"/>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0D974A"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Підпункт Порядку</w:t>
            </w:r>
          </w:p>
        </w:tc>
        <w:tc>
          <w:tcPr>
            <w:tcW w:w="8796" w:type="dxa"/>
            <w:gridSpan w:val="2"/>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71E27F"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Гарантований стандарт</w:t>
            </w:r>
          </w:p>
        </w:tc>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0B22A4"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Розмір компенсації споживачам, грн</w:t>
            </w:r>
          </w:p>
        </w:tc>
        <w:tc>
          <w:tcPr>
            <w:tcW w:w="1599" w:type="dxa"/>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3CB4D5"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Періодичність надання</w:t>
            </w:r>
          </w:p>
        </w:tc>
      </w:tr>
      <w:tr w:rsidR="00933D70" w:rsidRPr="00933D70" w14:paraId="506AC07E" w14:textId="77777777" w:rsidTr="00933D70">
        <w:tc>
          <w:tcPr>
            <w:tcW w:w="1858" w:type="dxa"/>
            <w:vMerge/>
            <w:tcBorders>
              <w:top w:val="single" w:sz="6" w:space="0" w:color="auto"/>
              <w:left w:val="single" w:sz="6" w:space="0" w:color="auto"/>
              <w:bottom w:val="single" w:sz="6" w:space="0" w:color="auto"/>
              <w:right w:val="single" w:sz="6" w:space="0" w:color="auto"/>
            </w:tcBorders>
            <w:vAlign w:val="center"/>
            <w:hideMark/>
          </w:tcPr>
          <w:p w14:paraId="18658A01" w14:textId="77777777" w:rsidR="00933D70" w:rsidRPr="00933D70" w:rsidRDefault="00933D70" w:rsidP="00933D70">
            <w:pPr>
              <w:rPr>
                <w:rFonts w:ascii="Times New Roman" w:hAnsi="Times New Roman" w:cs="Times New Roman"/>
              </w:rPr>
            </w:pPr>
          </w:p>
        </w:tc>
        <w:tc>
          <w:tcPr>
            <w:tcW w:w="8796" w:type="dxa"/>
            <w:gridSpan w:val="2"/>
            <w:vMerge/>
            <w:tcBorders>
              <w:top w:val="single" w:sz="6" w:space="0" w:color="auto"/>
              <w:left w:val="single" w:sz="6" w:space="0" w:color="auto"/>
              <w:bottom w:val="single" w:sz="6" w:space="0" w:color="auto"/>
              <w:right w:val="single" w:sz="6" w:space="0" w:color="auto"/>
            </w:tcBorders>
            <w:vAlign w:val="center"/>
            <w:hideMark/>
          </w:tcPr>
          <w:p w14:paraId="0A6C067C" w14:textId="77777777" w:rsidR="00933D70" w:rsidRPr="00933D70" w:rsidRDefault="00933D70" w:rsidP="00933D70">
            <w:pPr>
              <w:rPr>
                <w:rFonts w:ascii="Times New Roman" w:hAnsi="Times New Roman" w:cs="Times New Roman"/>
              </w:rPr>
            </w:pPr>
          </w:p>
        </w:tc>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416669"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побутовим</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02C029"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непобутовим</w:t>
            </w: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61929BAA" w14:textId="77777777" w:rsidR="00933D70" w:rsidRPr="00933D70" w:rsidRDefault="00933D70" w:rsidP="00933D70">
            <w:pPr>
              <w:rPr>
                <w:rFonts w:ascii="Times New Roman" w:hAnsi="Times New Roman" w:cs="Times New Roman"/>
              </w:rPr>
            </w:pPr>
          </w:p>
        </w:tc>
      </w:tr>
      <w:tr w:rsidR="00933D70" w:rsidRPr="00933D70" w14:paraId="237B60AC" w14:textId="77777777" w:rsidTr="00933D70">
        <w:tc>
          <w:tcPr>
            <w:tcW w:w="1858" w:type="dxa"/>
            <w:vMerge/>
            <w:tcBorders>
              <w:top w:val="single" w:sz="6" w:space="0" w:color="auto"/>
              <w:left w:val="single" w:sz="6" w:space="0" w:color="auto"/>
              <w:bottom w:val="single" w:sz="6" w:space="0" w:color="auto"/>
              <w:right w:val="single" w:sz="6" w:space="0" w:color="auto"/>
            </w:tcBorders>
            <w:vAlign w:val="center"/>
            <w:hideMark/>
          </w:tcPr>
          <w:p w14:paraId="2A67911E" w14:textId="77777777" w:rsidR="00933D70" w:rsidRPr="00933D70" w:rsidRDefault="00933D70" w:rsidP="00933D70">
            <w:pPr>
              <w:rPr>
                <w:rFonts w:ascii="Times New Roman" w:hAnsi="Times New Roman" w:cs="Times New Roman"/>
              </w:rPr>
            </w:pPr>
          </w:p>
        </w:tc>
        <w:tc>
          <w:tcPr>
            <w:tcW w:w="8796" w:type="dxa"/>
            <w:gridSpan w:val="2"/>
            <w:vMerge/>
            <w:tcBorders>
              <w:top w:val="single" w:sz="6" w:space="0" w:color="auto"/>
              <w:left w:val="single" w:sz="6" w:space="0" w:color="auto"/>
              <w:bottom w:val="single" w:sz="6" w:space="0" w:color="auto"/>
              <w:right w:val="single" w:sz="6" w:space="0" w:color="auto"/>
            </w:tcBorders>
            <w:vAlign w:val="center"/>
            <w:hideMark/>
          </w:tcPr>
          <w:p w14:paraId="62370297" w14:textId="77777777" w:rsidR="00933D70" w:rsidRPr="00933D70" w:rsidRDefault="00933D70" w:rsidP="00933D70">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6B3AC3" w14:textId="77777777" w:rsidR="00933D70" w:rsidRPr="00933D70" w:rsidRDefault="00933D70" w:rsidP="00933D70">
            <w:pP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BA37DC"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малим непобутовим</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9FDD7DA" w14:textId="77777777" w:rsidR="00933D70" w:rsidRPr="00933D70" w:rsidRDefault="00933D70" w:rsidP="00933D70">
            <w:pPr>
              <w:rPr>
                <w:rFonts w:ascii="Times New Roman" w:hAnsi="Times New Roman" w:cs="Times New Roman"/>
              </w:rPr>
            </w:pPr>
            <w:r w:rsidRPr="00933D70">
              <w:rPr>
                <w:rFonts w:ascii="Times New Roman" w:hAnsi="Times New Roman" w:cs="Times New Roman"/>
                <w:b/>
                <w:bCs/>
              </w:rPr>
              <w:t>іншим</w:t>
            </w: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2A4E9373" w14:textId="77777777" w:rsidR="00933D70" w:rsidRPr="00933D70" w:rsidRDefault="00933D70" w:rsidP="00933D70">
            <w:pPr>
              <w:rPr>
                <w:rFonts w:ascii="Times New Roman" w:hAnsi="Times New Roman" w:cs="Times New Roman"/>
              </w:rPr>
            </w:pPr>
          </w:p>
        </w:tc>
      </w:tr>
      <w:tr w:rsidR="00933D70" w:rsidRPr="00933D70" w14:paraId="656CA133" w14:textId="77777777" w:rsidTr="00933D70">
        <w:tc>
          <w:tcPr>
            <w:tcW w:w="18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385B4F"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Підпункт 1 пункту 3.3 глави 3</w:t>
            </w:r>
          </w:p>
        </w:tc>
        <w:tc>
          <w:tcPr>
            <w:tcW w:w="754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13C1B6"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Надання даних про споживання електричної енергії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FB3F0E"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5 роб. днів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AED10E"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96DF2D"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FC9A10"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400</w:t>
            </w:r>
          </w:p>
        </w:tc>
        <w:tc>
          <w:tcPr>
            <w:tcW w:w="15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AF340D"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одноразово</w:t>
            </w:r>
          </w:p>
        </w:tc>
      </w:tr>
      <w:tr w:rsidR="00933D70" w:rsidRPr="00933D70" w14:paraId="42AC21CD" w14:textId="77777777" w:rsidTr="00933D70">
        <w:tc>
          <w:tcPr>
            <w:tcW w:w="1858" w:type="dxa"/>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711080"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Підпункт 2 пункту 3.3 глави 3</w:t>
            </w:r>
          </w:p>
        </w:tc>
        <w:tc>
          <w:tcPr>
            <w:tcW w:w="754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92B259"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Розгляд звернень/скарг/ претензій споживачів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D0F4D8"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30 днів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4DEDB1"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A4765E"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5DD089"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600</w:t>
            </w:r>
          </w:p>
        </w:tc>
        <w:tc>
          <w:tcPr>
            <w:tcW w:w="15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15F02F"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одноразово</w:t>
            </w:r>
          </w:p>
        </w:tc>
      </w:tr>
      <w:tr w:rsidR="00933D70" w:rsidRPr="00933D70" w14:paraId="5CAA954F" w14:textId="77777777" w:rsidTr="00933D70">
        <w:tc>
          <w:tcPr>
            <w:tcW w:w="1858" w:type="dxa"/>
            <w:vMerge/>
            <w:tcBorders>
              <w:top w:val="single" w:sz="6" w:space="0" w:color="auto"/>
              <w:left w:val="single" w:sz="6" w:space="0" w:color="auto"/>
              <w:bottom w:val="single" w:sz="6" w:space="0" w:color="auto"/>
              <w:right w:val="single" w:sz="6" w:space="0" w:color="auto"/>
            </w:tcBorders>
            <w:vAlign w:val="center"/>
            <w:hideMark/>
          </w:tcPr>
          <w:p w14:paraId="60999082" w14:textId="77777777" w:rsidR="00933D70" w:rsidRPr="00933D70" w:rsidRDefault="00933D70" w:rsidP="00933D70">
            <w:pPr>
              <w:rPr>
                <w:rFonts w:ascii="Times New Roman" w:hAnsi="Times New Roman" w:cs="Times New Roman"/>
              </w:rPr>
            </w:pPr>
          </w:p>
        </w:tc>
        <w:tc>
          <w:tcPr>
            <w:tcW w:w="754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49BFA9"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Розгляд звернень/скарг/ претензій споживачів, якщо під час розгляду звернення необхідно здійснити технічну перевірку або провести експертизу засобу обліку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4AC0EF"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45 днів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D88B7B"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6BD4DC"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D1DA55"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600</w:t>
            </w:r>
          </w:p>
        </w:tc>
        <w:tc>
          <w:tcPr>
            <w:tcW w:w="15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B1C3A0"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одноразово</w:t>
            </w:r>
          </w:p>
        </w:tc>
      </w:tr>
      <w:tr w:rsidR="00933D70" w:rsidRPr="00933D70" w14:paraId="70CDF157" w14:textId="77777777" w:rsidTr="00933D70">
        <w:tc>
          <w:tcPr>
            <w:tcW w:w="18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2EDCC8"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Підпункт 3 пункту 3.3 глави 3</w:t>
            </w:r>
          </w:p>
        </w:tc>
        <w:tc>
          <w:tcPr>
            <w:tcW w:w="754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D89967"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Розгляд звернень споживачів щодо перевірки правильності рахунку на оплату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81FFD3"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5 роб. днів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4021C8"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5CF795"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92E7C6"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400</w:t>
            </w:r>
          </w:p>
        </w:tc>
        <w:tc>
          <w:tcPr>
            <w:tcW w:w="15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D245D5"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одноразово</w:t>
            </w:r>
          </w:p>
        </w:tc>
      </w:tr>
      <w:tr w:rsidR="00933D70" w:rsidRPr="00933D70" w14:paraId="63C3F150" w14:textId="77777777" w:rsidTr="00933D70">
        <w:tc>
          <w:tcPr>
            <w:tcW w:w="18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B08547"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Підпункт 4 пункту 3.3 глави 3</w:t>
            </w:r>
          </w:p>
        </w:tc>
        <w:tc>
          <w:tcPr>
            <w:tcW w:w="754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F5B335"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Урахування суми відповідної компенсації за недотримання гарантованих стандартів якості надання послуг ОСР у кінцевому рахунку споживача за електричну енергію</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E8DDDC"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30 днів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940015"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D42A8E"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71460E"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400</w:t>
            </w:r>
          </w:p>
        </w:tc>
        <w:tc>
          <w:tcPr>
            <w:tcW w:w="15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9950F8" w14:textId="77777777" w:rsidR="00933D70" w:rsidRPr="00933D70" w:rsidRDefault="00933D70" w:rsidP="00933D70">
            <w:pPr>
              <w:rPr>
                <w:rFonts w:ascii="Times New Roman" w:hAnsi="Times New Roman" w:cs="Times New Roman"/>
              </w:rPr>
            </w:pPr>
            <w:r w:rsidRPr="00933D70">
              <w:rPr>
                <w:rFonts w:ascii="Times New Roman" w:hAnsi="Times New Roman" w:cs="Times New Roman"/>
              </w:rPr>
              <w:t>одноразово</w:t>
            </w:r>
          </w:p>
        </w:tc>
      </w:tr>
    </w:tbl>
    <w:p w14:paraId="68718468" w14:textId="77777777" w:rsidR="001710D3" w:rsidRPr="00F80BA8" w:rsidRDefault="001710D3">
      <w:pPr>
        <w:rPr>
          <w:rFonts w:ascii="Times New Roman" w:hAnsi="Times New Roman" w:cs="Times New Roman"/>
        </w:rPr>
      </w:pPr>
    </w:p>
    <w:sectPr w:rsidR="001710D3" w:rsidRPr="00F80BA8" w:rsidSect="00933D70">
      <w:pgSz w:w="16840" w:h="11910" w:orient="landscape"/>
      <w:pgMar w:top="1599" w:right="818" w:bottom="720" w:left="920" w:header="0" w:footer="7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4206"/>
    <w:multiLevelType w:val="multilevel"/>
    <w:tmpl w:val="5F4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15682"/>
    <w:multiLevelType w:val="multilevel"/>
    <w:tmpl w:val="079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E10BB6"/>
    <w:multiLevelType w:val="multilevel"/>
    <w:tmpl w:val="DA023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29357C"/>
    <w:multiLevelType w:val="multilevel"/>
    <w:tmpl w:val="156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B37199"/>
    <w:multiLevelType w:val="multilevel"/>
    <w:tmpl w:val="9344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47E21"/>
    <w:multiLevelType w:val="multilevel"/>
    <w:tmpl w:val="FF38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33498">
    <w:abstractNumId w:val="2"/>
  </w:num>
  <w:num w:numId="2" w16cid:durableId="379592898">
    <w:abstractNumId w:val="1"/>
  </w:num>
  <w:num w:numId="3" w16cid:durableId="740177501">
    <w:abstractNumId w:val="5"/>
  </w:num>
  <w:num w:numId="4" w16cid:durableId="421803310">
    <w:abstractNumId w:val="3"/>
  </w:num>
  <w:num w:numId="5" w16cid:durableId="1652757574">
    <w:abstractNumId w:val="0"/>
  </w:num>
  <w:num w:numId="6" w16cid:durableId="584147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3E"/>
    <w:rsid w:val="000C59D6"/>
    <w:rsid w:val="000F51CC"/>
    <w:rsid w:val="00163E8F"/>
    <w:rsid w:val="001710D3"/>
    <w:rsid w:val="00357D78"/>
    <w:rsid w:val="003A1218"/>
    <w:rsid w:val="00475675"/>
    <w:rsid w:val="00615EAC"/>
    <w:rsid w:val="007A065D"/>
    <w:rsid w:val="008A7F4B"/>
    <w:rsid w:val="00933D70"/>
    <w:rsid w:val="00AA3CA6"/>
    <w:rsid w:val="00B25DCF"/>
    <w:rsid w:val="00B308F2"/>
    <w:rsid w:val="00B76BE1"/>
    <w:rsid w:val="00BC676D"/>
    <w:rsid w:val="00CC5764"/>
    <w:rsid w:val="00CF15E2"/>
    <w:rsid w:val="00D21A22"/>
    <w:rsid w:val="00E154B1"/>
    <w:rsid w:val="00E41DFC"/>
    <w:rsid w:val="00EC25FB"/>
    <w:rsid w:val="00F07C3E"/>
    <w:rsid w:val="00F4313B"/>
    <w:rsid w:val="00F80BA8"/>
    <w:rsid w:val="00FD0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078"/>
  <w15:chartTrackingRefBased/>
  <w15:docId w15:val="{18B0CC81-CF4C-487A-ADF2-990F8219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7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7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7C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7C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7C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7C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7C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C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7C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C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7C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7C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7C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7C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7C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7C3E"/>
    <w:rPr>
      <w:rFonts w:eastAsiaTheme="majorEastAsia" w:cstheme="majorBidi"/>
      <w:color w:val="595959" w:themeColor="text1" w:themeTint="A6"/>
    </w:rPr>
  </w:style>
  <w:style w:type="character" w:customStyle="1" w:styleId="80">
    <w:name w:val="Заголовок 8 Знак"/>
    <w:basedOn w:val="a0"/>
    <w:link w:val="8"/>
    <w:uiPriority w:val="9"/>
    <w:semiHidden/>
    <w:rsid w:val="00F07C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7C3E"/>
    <w:rPr>
      <w:rFonts w:eastAsiaTheme="majorEastAsia" w:cstheme="majorBidi"/>
      <w:color w:val="272727" w:themeColor="text1" w:themeTint="D8"/>
    </w:rPr>
  </w:style>
  <w:style w:type="paragraph" w:styleId="a3">
    <w:name w:val="Title"/>
    <w:basedOn w:val="a"/>
    <w:next w:val="a"/>
    <w:link w:val="a4"/>
    <w:uiPriority w:val="10"/>
    <w:qFormat/>
    <w:rsid w:val="00F07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07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C3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07C3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07C3E"/>
    <w:pPr>
      <w:spacing w:before="160"/>
      <w:jc w:val="center"/>
    </w:pPr>
    <w:rPr>
      <w:i/>
      <w:iCs/>
      <w:color w:val="404040" w:themeColor="text1" w:themeTint="BF"/>
    </w:rPr>
  </w:style>
  <w:style w:type="character" w:customStyle="1" w:styleId="a8">
    <w:name w:val="Цитата Знак"/>
    <w:basedOn w:val="a0"/>
    <w:link w:val="a7"/>
    <w:uiPriority w:val="29"/>
    <w:rsid w:val="00F07C3E"/>
    <w:rPr>
      <w:i/>
      <w:iCs/>
      <w:color w:val="404040" w:themeColor="text1" w:themeTint="BF"/>
    </w:rPr>
  </w:style>
  <w:style w:type="paragraph" w:styleId="a9">
    <w:name w:val="List Paragraph"/>
    <w:basedOn w:val="a"/>
    <w:uiPriority w:val="34"/>
    <w:qFormat/>
    <w:rsid w:val="00F07C3E"/>
    <w:pPr>
      <w:ind w:left="720"/>
      <w:contextualSpacing/>
    </w:pPr>
  </w:style>
  <w:style w:type="character" w:styleId="aa">
    <w:name w:val="Intense Emphasis"/>
    <w:basedOn w:val="a0"/>
    <w:uiPriority w:val="21"/>
    <w:qFormat/>
    <w:rsid w:val="00F07C3E"/>
    <w:rPr>
      <w:i/>
      <w:iCs/>
      <w:color w:val="2F5496" w:themeColor="accent1" w:themeShade="BF"/>
    </w:rPr>
  </w:style>
  <w:style w:type="paragraph" w:styleId="ab">
    <w:name w:val="Intense Quote"/>
    <w:basedOn w:val="a"/>
    <w:next w:val="a"/>
    <w:link w:val="ac"/>
    <w:uiPriority w:val="30"/>
    <w:qFormat/>
    <w:rsid w:val="00F07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07C3E"/>
    <w:rPr>
      <w:i/>
      <w:iCs/>
      <w:color w:val="2F5496" w:themeColor="accent1" w:themeShade="BF"/>
    </w:rPr>
  </w:style>
  <w:style w:type="character" w:styleId="ad">
    <w:name w:val="Intense Reference"/>
    <w:basedOn w:val="a0"/>
    <w:uiPriority w:val="32"/>
    <w:qFormat/>
    <w:rsid w:val="00F07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b58bfa2d8761d79416c27eb88edf1fec">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9cc46358351479b7e36f4bada3815526"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6FEB7-C658-473B-8425-6E75B068EF01}"/>
</file>

<file path=customXml/itemProps2.xml><?xml version="1.0" encoding="utf-8"?>
<ds:datastoreItem xmlns:ds="http://schemas.openxmlformats.org/officeDocument/2006/customXml" ds:itemID="{C3CDD8F8-9594-438F-B872-72311EB211D5}">
  <ds:schemaRefs>
    <ds:schemaRef ds:uri="http://schemas.microsoft.com/sharepoint/v3/contenttype/forms"/>
  </ds:schemaRefs>
</ds:datastoreItem>
</file>

<file path=customXml/itemProps3.xml><?xml version="1.0" encoding="utf-8"?>
<ds:datastoreItem xmlns:ds="http://schemas.openxmlformats.org/officeDocument/2006/customXml" ds:itemID="{36711EA4-A657-41ED-B98B-AFFF7B793250}">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4871</Characters>
  <Application>Microsoft Office Word</Application>
  <DocSecurity>0</DocSecurity>
  <Lines>128</Lines>
  <Paragraphs>52</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Maxim Fedotov</cp:lastModifiedBy>
  <cp:revision>5</cp:revision>
  <dcterms:created xsi:type="dcterms:W3CDTF">2025-10-20T11:08:00Z</dcterms:created>
  <dcterms:modified xsi:type="dcterms:W3CDTF">2025-10-31T14:34:00Z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